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5CA" w:rsidRPr="000B65CA" w:rsidRDefault="000B65CA" w:rsidP="000B65CA">
      <w:pPr>
        <w:spacing w:line="480" w:lineRule="auto"/>
        <w:rPr>
          <w:rFonts w:ascii="Times New Roman" w:hAnsi="Times New Roman" w:cs="Times New Roman"/>
          <w:sz w:val="24"/>
          <w:szCs w:val="24"/>
        </w:rPr>
      </w:pPr>
      <w:bookmarkStart w:id="0" w:name="_GoBack"/>
      <w:bookmarkEnd w:id="0"/>
    </w:p>
    <w:p w:rsidR="000B65CA" w:rsidRPr="000B65CA" w:rsidRDefault="000B65CA" w:rsidP="000B65CA">
      <w:pPr>
        <w:spacing w:line="480" w:lineRule="auto"/>
        <w:rPr>
          <w:rFonts w:ascii="Times New Roman" w:hAnsi="Times New Roman" w:cs="Times New Roman"/>
          <w:sz w:val="24"/>
          <w:szCs w:val="24"/>
        </w:rPr>
      </w:pPr>
    </w:p>
    <w:p w:rsidR="000B65CA" w:rsidRPr="000B65CA" w:rsidRDefault="000B65CA" w:rsidP="000B65CA">
      <w:pPr>
        <w:spacing w:line="480" w:lineRule="auto"/>
        <w:rPr>
          <w:rFonts w:ascii="Times New Roman" w:hAnsi="Times New Roman" w:cs="Times New Roman"/>
          <w:sz w:val="24"/>
          <w:szCs w:val="24"/>
        </w:rPr>
      </w:pPr>
    </w:p>
    <w:p w:rsidR="000B65CA" w:rsidRPr="000B65CA" w:rsidRDefault="000B65CA" w:rsidP="000B65CA">
      <w:pPr>
        <w:spacing w:line="480" w:lineRule="auto"/>
        <w:rPr>
          <w:rFonts w:ascii="Times New Roman" w:hAnsi="Times New Roman" w:cs="Times New Roman"/>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Pr="000B65CA" w:rsidRDefault="000B65CA" w:rsidP="000B65CA">
      <w:pPr>
        <w:spacing w:line="480" w:lineRule="auto"/>
        <w:jc w:val="center"/>
        <w:rPr>
          <w:rFonts w:ascii="Times New Roman" w:hAnsi="Times New Roman" w:cs="Times New Roman"/>
          <w:b/>
          <w:sz w:val="24"/>
          <w:szCs w:val="24"/>
        </w:rPr>
      </w:pPr>
      <w:r w:rsidRPr="000B65CA">
        <w:rPr>
          <w:rFonts w:ascii="Times New Roman" w:hAnsi="Times New Roman" w:cs="Times New Roman"/>
          <w:b/>
          <w:sz w:val="24"/>
          <w:szCs w:val="24"/>
        </w:rPr>
        <w:t>Discussion</w:t>
      </w:r>
    </w:p>
    <w:p w:rsidR="000B65CA" w:rsidRPr="000B65CA" w:rsidRDefault="000B65CA" w:rsidP="000B65CA">
      <w:pPr>
        <w:spacing w:line="480" w:lineRule="auto"/>
        <w:jc w:val="center"/>
        <w:rPr>
          <w:rFonts w:ascii="Times New Roman" w:hAnsi="Times New Roman" w:cs="Times New Roman"/>
          <w:sz w:val="24"/>
          <w:szCs w:val="24"/>
        </w:rPr>
      </w:pPr>
      <w:r w:rsidRPr="000B65CA">
        <w:rPr>
          <w:rFonts w:ascii="Times New Roman" w:hAnsi="Times New Roman" w:cs="Times New Roman"/>
          <w:sz w:val="24"/>
          <w:szCs w:val="24"/>
        </w:rPr>
        <w:t>Name</w:t>
      </w:r>
    </w:p>
    <w:p w:rsidR="000B65CA" w:rsidRPr="000B65CA" w:rsidRDefault="000B65CA" w:rsidP="000B65CA">
      <w:pPr>
        <w:spacing w:line="480" w:lineRule="auto"/>
        <w:jc w:val="center"/>
        <w:rPr>
          <w:rFonts w:ascii="Times New Roman" w:hAnsi="Times New Roman" w:cs="Times New Roman"/>
          <w:sz w:val="24"/>
          <w:szCs w:val="24"/>
        </w:rPr>
      </w:pPr>
      <w:r w:rsidRPr="000B65CA">
        <w:rPr>
          <w:rFonts w:ascii="Times New Roman" w:hAnsi="Times New Roman" w:cs="Times New Roman"/>
          <w:sz w:val="24"/>
          <w:szCs w:val="24"/>
        </w:rPr>
        <w:t>Institution</w:t>
      </w:r>
    </w:p>
    <w:p w:rsidR="000B65CA" w:rsidRPr="000B65CA" w:rsidRDefault="000B65CA" w:rsidP="000B65CA">
      <w:pPr>
        <w:spacing w:line="480" w:lineRule="auto"/>
        <w:jc w:val="center"/>
        <w:rPr>
          <w:rFonts w:ascii="Times New Roman" w:hAnsi="Times New Roman" w:cs="Times New Roman"/>
          <w:sz w:val="24"/>
          <w:szCs w:val="24"/>
        </w:rPr>
      </w:pPr>
      <w:r w:rsidRPr="000B65CA">
        <w:rPr>
          <w:rFonts w:ascii="Times New Roman" w:hAnsi="Times New Roman" w:cs="Times New Roman"/>
          <w:sz w:val="24"/>
          <w:szCs w:val="24"/>
        </w:rPr>
        <w:t>Date</w:t>
      </w:r>
    </w:p>
    <w:p w:rsidR="000B65CA" w:rsidRPr="000B65CA" w:rsidRDefault="000B65CA" w:rsidP="000B65CA">
      <w:pPr>
        <w:spacing w:line="480" w:lineRule="auto"/>
        <w:rPr>
          <w:rFonts w:ascii="Times New Roman" w:hAnsi="Times New Roman" w:cs="Times New Roman"/>
          <w:sz w:val="24"/>
          <w:szCs w:val="24"/>
        </w:rPr>
      </w:pPr>
    </w:p>
    <w:p w:rsidR="000B65CA" w:rsidRPr="000B65CA" w:rsidRDefault="000B65CA" w:rsidP="000B65CA">
      <w:pPr>
        <w:spacing w:line="480" w:lineRule="auto"/>
        <w:rPr>
          <w:rFonts w:ascii="Times New Roman" w:hAnsi="Times New Roman" w:cs="Times New Roman"/>
          <w:sz w:val="24"/>
          <w:szCs w:val="24"/>
        </w:rPr>
      </w:pPr>
    </w:p>
    <w:p w:rsidR="000B65CA" w:rsidRDefault="000B65CA" w:rsidP="000B65CA">
      <w:pPr>
        <w:spacing w:line="480" w:lineRule="auto"/>
        <w:rPr>
          <w:rFonts w:ascii="Times New Roman" w:hAnsi="Times New Roman" w:cs="Times New Roman"/>
          <w:sz w:val="24"/>
          <w:szCs w:val="24"/>
        </w:rPr>
      </w:pPr>
    </w:p>
    <w:p w:rsidR="000B65CA" w:rsidRDefault="000B65CA" w:rsidP="000B65CA">
      <w:pPr>
        <w:spacing w:line="480" w:lineRule="auto"/>
        <w:rPr>
          <w:rFonts w:ascii="Times New Roman" w:hAnsi="Times New Roman" w:cs="Times New Roman"/>
          <w:sz w:val="24"/>
          <w:szCs w:val="24"/>
        </w:rPr>
      </w:pPr>
    </w:p>
    <w:p w:rsidR="000B65CA" w:rsidRDefault="000B65CA" w:rsidP="000B65CA">
      <w:pPr>
        <w:spacing w:line="480" w:lineRule="auto"/>
        <w:rPr>
          <w:rFonts w:ascii="Times New Roman" w:hAnsi="Times New Roman" w:cs="Times New Roman"/>
          <w:sz w:val="24"/>
          <w:szCs w:val="24"/>
        </w:rPr>
      </w:pPr>
    </w:p>
    <w:p w:rsidR="000B65CA" w:rsidRDefault="000B65CA" w:rsidP="000B65CA">
      <w:pPr>
        <w:spacing w:line="480" w:lineRule="auto"/>
        <w:rPr>
          <w:rFonts w:ascii="Times New Roman" w:hAnsi="Times New Roman" w:cs="Times New Roman"/>
          <w:sz w:val="24"/>
          <w:szCs w:val="24"/>
        </w:rPr>
      </w:pPr>
    </w:p>
    <w:p w:rsidR="000B65CA" w:rsidRDefault="000B65CA" w:rsidP="000B65CA">
      <w:pPr>
        <w:spacing w:line="480" w:lineRule="auto"/>
        <w:rPr>
          <w:rFonts w:ascii="Times New Roman" w:hAnsi="Times New Roman" w:cs="Times New Roman"/>
          <w:sz w:val="24"/>
          <w:szCs w:val="24"/>
        </w:rPr>
      </w:pPr>
    </w:p>
    <w:p w:rsidR="006531FC" w:rsidRPr="000B65CA" w:rsidRDefault="006531FC" w:rsidP="000B65CA">
      <w:pPr>
        <w:spacing w:line="480" w:lineRule="auto"/>
        <w:jc w:val="center"/>
        <w:rPr>
          <w:rFonts w:ascii="Times New Roman" w:hAnsi="Times New Roman" w:cs="Times New Roman"/>
          <w:b/>
          <w:sz w:val="24"/>
          <w:szCs w:val="24"/>
        </w:rPr>
      </w:pPr>
      <w:r w:rsidRPr="000B65CA">
        <w:rPr>
          <w:rFonts w:ascii="Times New Roman" w:hAnsi="Times New Roman" w:cs="Times New Roman"/>
          <w:b/>
          <w:sz w:val="24"/>
          <w:szCs w:val="24"/>
        </w:rPr>
        <w:lastRenderedPageBreak/>
        <w:t>Discussion</w:t>
      </w:r>
    </w:p>
    <w:p w:rsidR="006531FC" w:rsidRPr="000B65CA" w:rsidRDefault="006531FC" w:rsidP="000B65CA">
      <w:pPr>
        <w:spacing w:line="480" w:lineRule="auto"/>
        <w:jc w:val="center"/>
        <w:rPr>
          <w:rFonts w:ascii="Times New Roman" w:hAnsi="Times New Roman" w:cs="Times New Roman"/>
          <w:b/>
          <w:sz w:val="24"/>
          <w:szCs w:val="24"/>
        </w:rPr>
      </w:pPr>
      <w:r w:rsidRPr="000B65CA">
        <w:rPr>
          <w:rFonts w:ascii="Times New Roman" w:hAnsi="Times New Roman" w:cs="Times New Roman"/>
          <w:b/>
          <w:sz w:val="24"/>
          <w:szCs w:val="24"/>
        </w:rPr>
        <w:t>The distinction between Western and Islamic Financing</w:t>
      </w:r>
    </w:p>
    <w:p w:rsidR="006531FC" w:rsidRPr="000B65CA" w:rsidRDefault="006531FC" w:rsidP="000B65CA">
      <w:pPr>
        <w:spacing w:line="480" w:lineRule="auto"/>
        <w:ind w:firstLine="720"/>
        <w:rPr>
          <w:rFonts w:ascii="Times New Roman" w:hAnsi="Times New Roman" w:cs="Times New Roman"/>
          <w:sz w:val="24"/>
          <w:szCs w:val="24"/>
        </w:rPr>
      </w:pPr>
      <w:r w:rsidRPr="000B65CA">
        <w:rPr>
          <w:rFonts w:ascii="Times New Roman" w:hAnsi="Times New Roman" w:cs="Times New Roman"/>
          <w:sz w:val="24"/>
          <w:szCs w:val="24"/>
        </w:rPr>
        <w:t>One of the differences between western and Islamic financing is that in western financing, investors act as creditors, while in Islamic financing, investors are considered partners, and are thus involved in profit and loss sharing</w:t>
      </w:r>
      <w:r w:rsidR="00715868" w:rsidRPr="000B65CA">
        <w:rPr>
          <w:rFonts w:ascii="Times New Roman" w:hAnsi="Times New Roman" w:cs="Times New Roman"/>
          <w:sz w:val="24"/>
          <w:szCs w:val="24"/>
        </w:rPr>
        <w:t xml:space="preserve"> (</w:t>
      </w:r>
      <w:r w:rsidR="00715868" w:rsidRPr="000B65CA">
        <w:rPr>
          <w:rFonts w:ascii="Times New Roman" w:eastAsia="Times New Roman" w:hAnsi="Times New Roman" w:cs="Times New Roman"/>
          <w:color w:val="000000"/>
          <w:sz w:val="24"/>
          <w:szCs w:val="24"/>
        </w:rPr>
        <w:t>Chu &amp; Muneeza, 2019)</w:t>
      </w:r>
      <w:r w:rsidRPr="000B65CA">
        <w:rPr>
          <w:rFonts w:ascii="Times New Roman" w:hAnsi="Times New Roman" w:cs="Times New Roman"/>
          <w:sz w:val="24"/>
          <w:szCs w:val="24"/>
        </w:rPr>
        <w:t xml:space="preserve">. Therefore, the partnership between investors and financial institutions in Islamic banking is bound by a partnership agreement in which the rights, roles, and obligations of the parties, the liability of the parties, and the profit-sharing ratio are explicitly defined. The newly formed partnership is primarily mandated to build successful business ventures that maximize profits. Another difference is that in western financing, the entrepreneur, who is the person taking a loan, assumes the burden of repaying the loan by themselves, while in Islamic financing, the entrepreneur does not assume the responsibility of repaying the loan alone. Rather, in Islamic financing, the burden of loan repayment is shared between the entrepreneur and the Islamic financial institution, and this is as a result of the partnership agreement between the two parties. </w:t>
      </w:r>
    </w:p>
    <w:p w:rsidR="006531FC" w:rsidRPr="000B65CA" w:rsidRDefault="006531FC" w:rsidP="000B65CA">
      <w:pPr>
        <w:spacing w:line="480" w:lineRule="auto"/>
        <w:ind w:firstLine="720"/>
        <w:rPr>
          <w:rFonts w:ascii="Times New Roman" w:hAnsi="Times New Roman" w:cs="Times New Roman"/>
          <w:sz w:val="24"/>
          <w:szCs w:val="24"/>
        </w:rPr>
      </w:pPr>
      <w:r w:rsidRPr="000B65CA">
        <w:rPr>
          <w:rFonts w:ascii="Times New Roman" w:hAnsi="Times New Roman" w:cs="Times New Roman"/>
          <w:sz w:val="24"/>
          <w:szCs w:val="24"/>
        </w:rPr>
        <w:t>In addition, in Islamic financing, there is no speculation or uncertainty, unlike in western financing, where there is a lot of uncertainty and speculation. In Islamic financing, both the borrower and the concerned financial institution are involved in a partnership agreement with the main motive of creating successful ventures to maximize profits. Therefore, there is a lot of cooperation and transparency, and this limits instances of uncertainty and speculation. In contrast, uncertainty in western financing is due to the lender's concern of whether the borrower will repay the principal amount plus the accrued interest</w:t>
      </w:r>
      <w:r w:rsidR="00715868" w:rsidRPr="000B65CA">
        <w:rPr>
          <w:rFonts w:ascii="Times New Roman" w:hAnsi="Times New Roman" w:cs="Times New Roman"/>
          <w:sz w:val="24"/>
          <w:szCs w:val="24"/>
        </w:rPr>
        <w:t xml:space="preserve"> (</w:t>
      </w:r>
      <w:r w:rsidR="00715868" w:rsidRPr="000B65CA">
        <w:rPr>
          <w:rFonts w:ascii="Times New Roman" w:eastAsia="Times New Roman" w:hAnsi="Times New Roman" w:cs="Times New Roman"/>
          <w:color w:val="000000"/>
          <w:sz w:val="24"/>
          <w:szCs w:val="24"/>
        </w:rPr>
        <w:t>Chu &amp; Muneeza, 2019)</w:t>
      </w:r>
      <w:r w:rsidRPr="000B65CA">
        <w:rPr>
          <w:rFonts w:ascii="Times New Roman" w:hAnsi="Times New Roman" w:cs="Times New Roman"/>
          <w:sz w:val="24"/>
          <w:szCs w:val="24"/>
        </w:rPr>
        <w:t xml:space="preserve">. The lender is also uncertain in case the borrower is borrowing the money to finance a new project. A new </w:t>
      </w:r>
      <w:r w:rsidRPr="000B65CA">
        <w:rPr>
          <w:rFonts w:ascii="Times New Roman" w:hAnsi="Times New Roman" w:cs="Times New Roman"/>
          <w:sz w:val="24"/>
          <w:szCs w:val="24"/>
        </w:rPr>
        <w:lastRenderedPageBreak/>
        <w:t xml:space="preserve">venture may fail, thus making it difficult for the borrower to repay the loan. Speculation is due to the fact that the borrower may venture into risky projects and eventually end up losing the money, and ultimately becoming unable to repay the loan.  Besides, Islamic financing restricts interest in borrowing or lending money, while in western financing, interest is the main source of income. </w:t>
      </w:r>
    </w:p>
    <w:p w:rsidR="006531FC" w:rsidRPr="000B65CA" w:rsidRDefault="006531FC" w:rsidP="000B65CA">
      <w:pPr>
        <w:spacing w:line="480" w:lineRule="auto"/>
        <w:jc w:val="center"/>
        <w:rPr>
          <w:rFonts w:ascii="Times New Roman" w:hAnsi="Times New Roman" w:cs="Times New Roman"/>
          <w:b/>
          <w:sz w:val="24"/>
          <w:szCs w:val="24"/>
        </w:rPr>
      </w:pPr>
      <w:r w:rsidRPr="000B65CA">
        <w:rPr>
          <w:rFonts w:ascii="Times New Roman" w:hAnsi="Times New Roman" w:cs="Times New Roman"/>
          <w:b/>
          <w:sz w:val="24"/>
          <w:szCs w:val="24"/>
        </w:rPr>
        <w:t>Debt Financing</w:t>
      </w:r>
    </w:p>
    <w:p w:rsidR="006531FC" w:rsidRPr="000B65CA" w:rsidRDefault="006531FC" w:rsidP="000B65CA">
      <w:pPr>
        <w:spacing w:line="480" w:lineRule="auto"/>
        <w:rPr>
          <w:rFonts w:ascii="Times New Roman" w:hAnsi="Times New Roman" w:cs="Times New Roman"/>
          <w:b/>
          <w:sz w:val="24"/>
          <w:szCs w:val="24"/>
        </w:rPr>
      </w:pPr>
      <w:r w:rsidRPr="000B65CA">
        <w:rPr>
          <w:rFonts w:ascii="Times New Roman" w:hAnsi="Times New Roman" w:cs="Times New Roman"/>
          <w:b/>
          <w:sz w:val="24"/>
          <w:szCs w:val="24"/>
        </w:rPr>
        <w:t>Pros</w:t>
      </w:r>
    </w:p>
    <w:p w:rsidR="006531FC" w:rsidRPr="000B65CA" w:rsidRDefault="006531FC" w:rsidP="000B65CA">
      <w:pPr>
        <w:spacing w:line="480" w:lineRule="auto"/>
        <w:ind w:firstLine="720"/>
        <w:rPr>
          <w:rFonts w:ascii="Times New Roman" w:hAnsi="Times New Roman" w:cs="Times New Roman"/>
          <w:sz w:val="24"/>
          <w:szCs w:val="24"/>
        </w:rPr>
      </w:pPr>
      <w:r w:rsidRPr="000B65CA">
        <w:rPr>
          <w:rFonts w:ascii="Times New Roman" w:hAnsi="Times New Roman" w:cs="Times New Roman"/>
          <w:sz w:val="24"/>
          <w:szCs w:val="24"/>
        </w:rPr>
        <w:t>One of the pros of debt financing for bigger projects in healthcar</w:t>
      </w:r>
      <w:r w:rsidR="00715868" w:rsidRPr="000B65CA">
        <w:rPr>
          <w:rFonts w:ascii="Times New Roman" w:hAnsi="Times New Roman" w:cs="Times New Roman"/>
          <w:sz w:val="24"/>
          <w:szCs w:val="24"/>
        </w:rPr>
        <w:t>e is that there is</w:t>
      </w:r>
      <w:r w:rsidRPr="000B65CA">
        <w:rPr>
          <w:rFonts w:ascii="Times New Roman" w:hAnsi="Times New Roman" w:cs="Times New Roman"/>
          <w:sz w:val="24"/>
          <w:szCs w:val="24"/>
        </w:rPr>
        <w:t xml:space="preserve"> flexibility of control. When a bigger healthcare project is engaged in debt financing, the lender has no influence on the management and decision-making of the organization. The healthcare </w:t>
      </w:r>
      <w:r w:rsidR="00715868" w:rsidRPr="000B65CA">
        <w:rPr>
          <w:rFonts w:ascii="Times New Roman" w:hAnsi="Times New Roman" w:cs="Times New Roman"/>
          <w:sz w:val="24"/>
          <w:szCs w:val="24"/>
        </w:rPr>
        <w:t>organization has the autonomy to make its decisions and develop</w:t>
      </w:r>
      <w:r w:rsidRPr="000B65CA">
        <w:rPr>
          <w:rFonts w:ascii="Times New Roman" w:hAnsi="Times New Roman" w:cs="Times New Roman"/>
          <w:sz w:val="24"/>
          <w:szCs w:val="24"/>
        </w:rPr>
        <w:t xml:space="preserve"> its esteemed management styles. Another pro is that the organization enjoys tax benefits. The amount of interest that the healthcare organization pays to the lender is not subjected to any taxation</w:t>
      </w:r>
      <w:r w:rsidR="00424498" w:rsidRPr="000B65CA">
        <w:rPr>
          <w:rFonts w:ascii="Times New Roman" w:hAnsi="Times New Roman" w:cs="Times New Roman"/>
          <w:sz w:val="24"/>
          <w:szCs w:val="24"/>
        </w:rPr>
        <w:t xml:space="preserve"> (</w:t>
      </w:r>
      <w:r w:rsidR="00424498" w:rsidRPr="000B65CA">
        <w:rPr>
          <w:rFonts w:ascii="Times New Roman" w:eastAsia="Times New Roman" w:hAnsi="Times New Roman" w:cs="Times New Roman"/>
          <w:sz w:val="24"/>
          <w:szCs w:val="24"/>
        </w:rPr>
        <w:t>Cole</w:t>
      </w:r>
      <w:r w:rsidR="00424498" w:rsidRPr="00715868">
        <w:rPr>
          <w:rFonts w:ascii="Times New Roman" w:eastAsia="Times New Roman" w:hAnsi="Times New Roman" w:cs="Times New Roman"/>
          <w:sz w:val="24"/>
          <w:szCs w:val="24"/>
        </w:rPr>
        <w:t>&amp; Sokolyk</w:t>
      </w:r>
      <w:r w:rsidR="00424498" w:rsidRPr="000B65CA">
        <w:rPr>
          <w:rFonts w:ascii="Times New Roman" w:eastAsia="Times New Roman" w:hAnsi="Times New Roman" w:cs="Times New Roman"/>
          <w:sz w:val="24"/>
          <w:szCs w:val="24"/>
        </w:rPr>
        <w:t>, 2018)</w:t>
      </w:r>
      <w:r w:rsidRPr="000B65CA">
        <w:rPr>
          <w:rFonts w:ascii="Times New Roman" w:hAnsi="Times New Roman" w:cs="Times New Roman"/>
          <w:sz w:val="24"/>
          <w:szCs w:val="24"/>
        </w:rPr>
        <w:t xml:space="preserve">. In addition, debt financing allows for easier planning by the borrower. Notably, when a healthcare facility is financed through debt, the facility has an explicit understanding of the principal amount, interest to be remitted each month, and the amount of time it will take to repay the debt. As a result, the facility is able to make prudent budgetary and financial decisions. </w:t>
      </w:r>
    </w:p>
    <w:p w:rsidR="006531FC" w:rsidRPr="000B65CA" w:rsidRDefault="006531FC" w:rsidP="000B65CA">
      <w:pPr>
        <w:spacing w:line="480" w:lineRule="auto"/>
        <w:rPr>
          <w:rFonts w:ascii="Times New Roman" w:hAnsi="Times New Roman" w:cs="Times New Roman"/>
          <w:b/>
          <w:sz w:val="24"/>
          <w:szCs w:val="24"/>
        </w:rPr>
      </w:pPr>
      <w:r w:rsidRPr="000B65CA">
        <w:rPr>
          <w:rFonts w:ascii="Times New Roman" w:hAnsi="Times New Roman" w:cs="Times New Roman"/>
          <w:b/>
          <w:sz w:val="24"/>
          <w:szCs w:val="24"/>
        </w:rPr>
        <w:t>Cons</w:t>
      </w:r>
    </w:p>
    <w:p w:rsidR="006531FC" w:rsidRPr="000B65CA" w:rsidRDefault="006531FC" w:rsidP="000B65CA">
      <w:pPr>
        <w:spacing w:line="480" w:lineRule="auto"/>
        <w:ind w:firstLine="720"/>
        <w:rPr>
          <w:rFonts w:ascii="Times New Roman" w:hAnsi="Times New Roman" w:cs="Times New Roman"/>
          <w:sz w:val="24"/>
          <w:szCs w:val="24"/>
        </w:rPr>
      </w:pPr>
      <w:r w:rsidRPr="000B65CA">
        <w:rPr>
          <w:rFonts w:ascii="Times New Roman" w:hAnsi="Times New Roman" w:cs="Times New Roman"/>
          <w:sz w:val="24"/>
          <w:szCs w:val="24"/>
        </w:rPr>
        <w:t>Debt financing might have several disadvantages to bigger healthcare facilities. One of such cons is security or collateral. For a bigger healthcare facility to get debt financing, it must secure the loan with collateral. However, when the facility agrees to offer security to the financier, it puts some of its potential assets at risk, especially when the facility is unable to repay the loan</w:t>
      </w:r>
      <w:r w:rsidR="00424498" w:rsidRPr="000B65CA">
        <w:rPr>
          <w:rFonts w:ascii="Times New Roman" w:hAnsi="Times New Roman" w:cs="Times New Roman"/>
          <w:sz w:val="24"/>
          <w:szCs w:val="24"/>
        </w:rPr>
        <w:t xml:space="preserve"> (</w:t>
      </w:r>
      <w:r w:rsidR="00424498" w:rsidRPr="000B65CA">
        <w:rPr>
          <w:rFonts w:ascii="Times New Roman" w:eastAsia="Times New Roman" w:hAnsi="Times New Roman" w:cs="Times New Roman"/>
          <w:sz w:val="24"/>
          <w:szCs w:val="24"/>
        </w:rPr>
        <w:t>Cole</w:t>
      </w:r>
      <w:r w:rsidR="00424498" w:rsidRPr="00715868">
        <w:rPr>
          <w:rFonts w:ascii="Times New Roman" w:eastAsia="Times New Roman" w:hAnsi="Times New Roman" w:cs="Times New Roman"/>
          <w:sz w:val="24"/>
          <w:szCs w:val="24"/>
        </w:rPr>
        <w:t>&amp; Sokolyk</w:t>
      </w:r>
      <w:r w:rsidR="00424498" w:rsidRPr="000B65CA">
        <w:rPr>
          <w:rFonts w:ascii="Times New Roman" w:eastAsia="Times New Roman" w:hAnsi="Times New Roman" w:cs="Times New Roman"/>
          <w:sz w:val="24"/>
          <w:szCs w:val="24"/>
        </w:rPr>
        <w:t>, 2018)</w:t>
      </w:r>
      <w:r w:rsidRPr="000B65CA">
        <w:rPr>
          <w:rFonts w:ascii="Times New Roman" w:hAnsi="Times New Roman" w:cs="Times New Roman"/>
          <w:sz w:val="24"/>
          <w:szCs w:val="24"/>
        </w:rPr>
        <w:t>. In other cases, the proprietor of the facility might be required to</w:t>
      </w:r>
      <w:r w:rsidR="00715868" w:rsidRPr="000B65CA">
        <w:rPr>
          <w:rFonts w:ascii="Times New Roman" w:hAnsi="Times New Roman" w:cs="Times New Roman"/>
          <w:sz w:val="24"/>
          <w:szCs w:val="24"/>
        </w:rPr>
        <w:t xml:space="preserve"> secure the loan with their </w:t>
      </w:r>
      <w:r w:rsidRPr="000B65CA">
        <w:rPr>
          <w:rFonts w:ascii="Times New Roman" w:hAnsi="Times New Roman" w:cs="Times New Roman"/>
          <w:sz w:val="24"/>
          <w:szCs w:val="24"/>
        </w:rPr>
        <w:t>assets, and through this, they put their assets at potential risk. Another con of debt financing is the requirements for qualifications. For the facility to secure a loan through debt financing, it may be required to have a good credit score.</w:t>
      </w:r>
    </w:p>
    <w:p w:rsidR="006531FC" w:rsidRPr="000B65CA" w:rsidRDefault="006531FC" w:rsidP="000B65CA">
      <w:pPr>
        <w:spacing w:line="480" w:lineRule="auto"/>
        <w:jc w:val="center"/>
        <w:rPr>
          <w:rFonts w:ascii="Times New Roman" w:hAnsi="Times New Roman" w:cs="Times New Roman"/>
          <w:b/>
          <w:sz w:val="24"/>
          <w:szCs w:val="24"/>
        </w:rPr>
      </w:pPr>
      <w:r w:rsidRPr="000B65CA">
        <w:rPr>
          <w:rFonts w:ascii="Times New Roman" w:hAnsi="Times New Roman" w:cs="Times New Roman"/>
          <w:b/>
          <w:sz w:val="24"/>
          <w:szCs w:val="24"/>
        </w:rPr>
        <w:t>Proposal</w:t>
      </w:r>
    </w:p>
    <w:p w:rsidR="006531FC" w:rsidRPr="000B65CA" w:rsidRDefault="006531FC" w:rsidP="000B65CA">
      <w:pPr>
        <w:spacing w:line="480" w:lineRule="auto"/>
        <w:ind w:firstLine="720"/>
        <w:rPr>
          <w:rFonts w:ascii="Times New Roman" w:hAnsi="Times New Roman" w:cs="Times New Roman"/>
          <w:sz w:val="24"/>
          <w:szCs w:val="24"/>
        </w:rPr>
      </w:pPr>
      <w:r w:rsidRPr="000B65CA">
        <w:rPr>
          <w:rFonts w:ascii="Times New Roman" w:hAnsi="Times New Roman" w:cs="Times New Roman"/>
          <w:sz w:val="24"/>
          <w:szCs w:val="24"/>
        </w:rPr>
        <w:t>The company for which the proposal is made would be an international logistics company. An international logistics company is a large project that is viable owing to the concept of globalization that has allowed for the global movement of both people and goods. The company would deal with the international movement of both goods and people through air and water transport means. People are increasingly traversing into different parts of the globe for employment purposes, business transactions, and tourism purposes. Therefore, this project would highly attract financing from western investors</w:t>
      </w:r>
      <w:r w:rsidR="00715868" w:rsidRPr="000B65CA">
        <w:rPr>
          <w:rFonts w:ascii="Times New Roman" w:hAnsi="Times New Roman" w:cs="Times New Roman"/>
          <w:sz w:val="24"/>
          <w:szCs w:val="24"/>
        </w:rPr>
        <w:t xml:space="preserve"> due to its possibility of greater success</w:t>
      </w:r>
      <w:r w:rsidRPr="000B65CA">
        <w:rPr>
          <w:rFonts w:ascii="Times New Roman" w:hAnsi="Times New Roman" w:cs="Times New Roman"/>
          <w:sz w:val="24"/>
          <w:szCs w:val="24"/>
        </w:rPr>
        <w:t>. The western investors would act as creditors to the project and, therefore, be entitled to a monthly interest receipt based on the agreed terms. The project would still be in line with Islamic financing principles. One such principle is that Islamic financial institutions do not fund illegal or haram activities</w:t>
      </w:r>
      <w:r w:rsidR="00715868" w:rsidRPr="000B65CA">
        <w:rPr>
          <w:rFonts w:ascii="Times New Roman" w:hAnsi="Times New Roman" w:cs="Times New Roman"/>
          <w:sz w:val="24"/>
          <w:szCs w:val="24"/>
        </w:rPr>
        <w:t xml:space="preserve"> (</w:t>
      </w:r>
      <w:r w:rsidR="00715868" w:rsidRPr="000B65CA">
        <w:rPr>
          <w:rFonts w:ascii="Times New Roman" w:eastAsia="Times New Roman" w:hAnsi="Times New Roman" w:cs="Times New Roman"/>
          <w:color w:val="000000"/>
          <w:sz w:val="24"/>
          <w:szCs w:val="24"/>
        </w:rPr>
        <w:t>Chu &amp; Muneeza, 2019)</w:t>
      </w:r>
      <w:r w:rsidRPr="000B65CA">
        <w:rPr>
          <w:rFonts w:ascii="Times New Roman" w:hAnsi="Times New Roman" w:cs="Times New Roman"/>
          <w:sz w:val="24"/>
          <w:szCs w:val="24"/>
        </w:rPr>
        <w:t xml:space="preserve">. Therefore, the considered project complies with Islamic </w:t>
      </w:r>
      <w:r w:rsidR="00715868" w:rsidRPr="000B65CA">
        <w:rPr>
          <w:rFonts w:ascii="Times New Roman" w:hAnsi="Times New Roman" w:cs="Times New Roman"/>
          <w:sz w:val="24"/>
          <w:szCs w:val="24"/>
        </w:rPr>
        <w:t>principles because it is l</w:t>
      </w:r>
      <w:r w:rsidRPr="000B65CA">
        <w:rPr>
          <w:rFonts w:ascii="Times New Roman" w:hAnsi="Times New Roman" w:cs="Times New Roman"/>
          <w:sz w:val="24"/>
          <w:szCs w:val="24"/>
        </w:rPr>
        <w:t>egal.</w:t>
      </w:r>
    </w:p>
    <w:p w:rsidR="006531FC" w:rsidRPr="000B65CA" w:rsidRDefault="006531FC" w:rsidP="000B65CA">
      <w:pPr>
        <w:spacing w:line="480" w:lineRule="auto"/>
        <w:jc w:val="center"/>
        <w:rPr>
          <w:rFonts w:ascii="Times New Roman" w:hAnsi="Times New Roman" w:cs="Times New Roman"/>
          <w:b/>
          <w:sz w:val="24"/>
          <w:szCs w:val="24"/>
        </w:rPr>
      </w:pPr>
      <w:r w:rsidRPr="000B65CA">
        <w:rPr>
          <w:rFonts w:ascii="Times New Roman" w:hAnsi="Times New Roman" w:cs="Times New Roman"/>
          <w:b/>
          <w:sz w:val="24"/>
          <w:szCs w:val="24"/>
        </w:rPr>
        <w:t>The case of Saudi Arabia</w:t>
      </w:r>
    </w:p>
    <w:p w:rsidR="00715868" w:rsidRPr="000B65CA" w:rsidRDefault="006531FC" w:rsidP="000B65CA">
      <w:pPr>
        <w:spacing w:line="480" w:lineRule="auto"/>
        <w:ind w:firstLine="720"/>
        <w:rPr>
          <w:rFonts w:ascii="Times New Roman" w:hAnsi="Times New Roman" w:cs="Times New Roman"/>
          <w:sz w:val="24"/>
          <w:szCs w:val="24"/>
        </w:rPr>
      </w:pPr>
      <w:r w:rsidRPr="000B65CA">
        <w:rPr>
          <w:rFonts w:ascii="Times New Roman" w:hAnsi="Times New Roman" w:cs="Times New Roman"/>
          <w:sz w:val="24"/>
          <w:szCs w:val="24"/>
        </w:rPr>
        <w:t xml:space="preserve">Supposing an organization is not able to repay their debt in Saudi Arabia, the law provides several options. </w:t>
      </w:r>
      <w:r w:rsidR="00715868" w:rsidRPr="000B65CA">
        <w:rPr>
          <w:rFonts w:ascii="Times New Roman" w:hAnsi="Times New Roman" w:cs="Times New Roman"/>
          <w:sz w:val="24"/>
          <w:szCs w:val="24"/>
        </w:rPr>
        <w:t>Notably, f</w:t>
      </w:r>
      <w:r w:rsidRPr="000B65CA">
        <w:rPr>
          <w:rFonts w:ascii="Times New Roman" w:hAnsi="Times New Roman" w:cs="Times New Roman"/>
          <w:sz w:val="24"/>
          <w:szCs w:val="24"/>
        </w:rPr>
        <w:t xml:space="preserve">or organizations whose financial status has changed, the lenders are legally obliged to reschedule the loan without adding any new costs. Also, when an organization fails to honor its debts, the respective lenders are not authorized to deduct such money from the borrower's accounts, without the permission of the client or court order. </w:t>
      </w:r>
      <w:r w:rsidR="00715868" w:rsidRPr="000B65CA">
        <w:rPr>
          <w:rFonts w:ascii="Times New Roman" w:hAnsi="Times New Roman" w:cs="Times New Roman"/>
          <w:sz w:val="24"/>
          <w:szCs w:val="24"/>
        </w:rPr>
        <w:t>Additionally, s</w:t>
      </w:r>
      <w:r w:rsidRPr="000B65CA">
        <w:rPr>
          <w:rFonts w:ascii="Times New Roman" w:hAnsi="Times New Roman" w:cs="Times New Roman"/>
          <w:sz w:val="24"/>
          <w:szCs w:val="24"/>
        </w:rPr>
        <w:t>upposing the lender decides to follow the court process, it must communicate with the borrower either through mail or via telephone</w:t>
      </w:r>
      <w:r w:rsidR="00715868" w:rsidRPr="000B65CA">
        <w:rPr>
          <w:rFonts w:ascii="Times New Roman" w:hAnsi="Times New Roman" w:cs="Times New Roman"/>
          <w:sz w:val="24"/>
          <w:szCs w:val="24"/>
        </w:rPr>
        <w:t xml:space="preserve"> prior to the decision (</w:t>
      </w:r>
      <w:r w:rsidR="00715868" w:rsidRPr="00715868">
        <w:rPr>
          <w:rFonts w:ascii="Times New Roman" w:eastAsia="Times New Roman" w:hAnsi="Times New Roman" w:cs="Times New Roman"/>
          <w:sz w:val="24"/>
          <w:szCs w:val="24"/>
        </w:rPr>
        <w:t>Lone</w:t>
      </w:r>
      <w:r w:rsidR="00715868" w:rsidRPr="000B65CA">
        <w:rPr>
          <w:rFonts w:ascii="Times New Roman" w:eastAsia="Times New Roman" w:hAnsi="Times New Roman" w:cs="Times New Roman"/>
          <w:sz w:val="24"/>
          <w:szCs w:val="24"/>
        </w:rPr>
        <w:t xml:space="preserve"> et al., 2017)</w:t>
      </w:r>
      <w:r w:rsidRPr="000B65CA">
        <w:rPr>
          <w:rFonts w:ascii="Times New Roman" w:hAnsi="Times New Roman" w:cs="Times New Roman"/>
          <w:sz w:val="24"/>
          <w:szCs w:val="24"/>
        </w:rPr>
        <w:t xml:space="preserve">. </w:t>
      </w: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Default="000B65CA" w:rsidP="000B65CA">
      <w:pPr>
        <w:spacing w:line="480" w:lineRule="auto"/>
        <w:jc w:val="center"/>
        <w:rPr>
          <w:rFonts w:ascii="Times New Roman" w:hAnsi="Times New Roman" w:cs="Times New Roman"/>
          <w:b/>
          <w:sz w:val="24"/>
          <w:szCs w:val="24"/>
        </w:rPr>
      </w:pPr>
    </w:p>
    <w:p w:rsidR="000B65CA" w:rsidRPr="000B65CA" w:rsidRDefault="00715868" w:rsidP="000B65CA">
      <w:pPr>
        <w:spacing w:line="480" w:lineRule="auto"/>
        <w:jc w:val="center"/>
        <w:rPr>
          <w:rFonts w:ascii="Times New Roman" w:hAnsi="Times New Roman" w:cs="Times New Roman"/>
          <w:b/>
          <w:sz w:val="24"/>
          <w:szCs w:val="24"/>
        </w:rPr>
      </w:pPr>
      <w:r w:rsidRPr="000B65CA">
        <w:rPr>
          <w:rFonts w:ascii="Times New Roman" w:hAnsi="Times New Roman" w:cs="Times New Roman"/>
          <w:b/>
          <w:sz w:val="24"/>
          <w:szCs w:val="24"/>
        </w:rPr>
        <w:t>References</w:t>
      </w:r>
    </w:p>
    <w:p w:rsidR="000B65CA" w:rsidRPr="000B65CA" w:rsidRDefault="000B65CA" w:rsidP="000B65CA">
      <w:pPr>
        <w:spacing w:line="480" w:lineRule="auto"/>
        <w:ind w:left="720" w:hanging="720"/>
        <w:rPr>
          <w:rFonts w:ascii="Times New Roman" w:hAnsi="Times New Roman" w:cs="Times New Roman"/>
          <w:b/>
          <w:sz w:val="24"/>
          <w:szCs w:val="24"/>
        </w:rPr>
      </w:pPr>
      <w:r w:rsidRPr="000B65CA">
        <w:rPr>
          <w:rFonts w:ascii="Times New Roman" w:eastAsia="Times New Roman" w:hAnsi="Times New Roman" w:cs="Times New Roman"/>
          <w:color w:val="000000"/>
          <w:sz w:val="24"/>
          <w:szCs w:val="24"/>
        </w:rPr>
        <w:t>Chu, J., &amp; Muneeza, A. (2019). </w:t>
      </w:r>
      <w:hyperlink r:id="rId6" w:tgtFrame="_blank" w:history="1">
        <w:r w:rsidRPr="000B65CA">
          <w:rPr>
            <w:rFonts w:ascii="Times New Roman" w:eastAsia="Times New Roman" w:hAnsi="Times New Roman" w:cs="Times New Roman"/>
            <w:sz w:val="24"/>
            <w:szCs w:val="24"/>
            <w:bdr w:val="none" w:sz="0" w:space="0" w:color="auto" w:frame="1"/>
          </w:rPr>
          <w:t>Belt and road initiative and Islamic financing: The case in public private partnership infrastructure financing</w:t>
        </w:r>
      </w:hyperlink>
      <w:r w:rsidRPr="000B65CA">
        <w:rPr>
          <w:rFonts w:ascii="Times New Roman" w:eastAsia="Times New Roman" w:hAnsi="Times New Roman" w:cs="Times New Roman"/>
          <w:sz w:val="24"/>
          <w:szCs w:val="24"/>
        </w:rPr>
        <w:t>. </w:t>
      </w:r>
      <w:r w:rsidRPr="000B65CA">
        <w:rPr>
          <w:rFonts w:ascii="Times New Roman" w:eastAsia="Times New Roman" w:hAnsi="Times New Roman" w:cs="Times New Roman"/>
          <w:i/>
          <w:iCs/>
          <w:color w:val="000000"/>
          <w:sz w:val="24"/>
          <w:szCs w:val="24"/>
          <w:bdr w:val="none" w:sz="0" w:space="0" w:color="auto" w:frame="1"/>
        </w:rPr>
        <w:t>International Journal of Management and Applied Research, 6</w:t>
      </w:r>
      <w:r w:rsidRPr="000B65CA">
        <w:rPr>
          <w:rFonts w:ascii="Times New Roman" w:eastAsia="Times New Roman" w:hAnsi="Times New Roman" w:cs="Times New Roman"/>
          <w:color w:val="000000"/>
          <w:sz w:val="24"/>
          <w:szCs w:val="24"/>
        </w:rPr>
        <w:t xml:space="preserve">(1), 24–40. Retrieved from </w:t>
      </w:r>
      <w:hyperlink r:id="rId7" w:history="1">
        <w:r w:rsidRPr="000B65CA">
          <w:rPr>
            <w:rStyle w:val="Hyperlink"/>
            <w:rFonts w:ascii="Times New Roman" w:eastAsia="Times New Roman" w:hAnsi="Times New Roman" w:cs="Times New Roman"/>
            <w:sz w:val="24"/>
            <w:szCs w:val="24"/>
          </w:rPr>
          <w:t>http://www.ijmar.org/v6n1/19-002.html</w:t>
        </w:r>
      </w:hyperlink>
    </w:p>
    <w:p w:rsidR="000B65CA" w:rsidRPr="00715868" w:rsidRDefault="000B65CA" w:rsidP="000B65CA">
      <w:pPr>
        <w:spacing w:after="0" w:line="480" w:lineRule="auto"/>
        <w:ind w:left="720" w:hanging="720"/>
        <w:rPr>
          <w:rFonts w:ascii="Times New Roman" w:eastAsia="Times New Roman" w:hAnsi="Times New Roman" w:cs="Times New Roman"/>
          <w:sz w:val="24"/>
          <w:szCs w:val="24"/>
        </w:rPr>
      </w:pPr>
      <w:r w:rsidRPr="00715868">
        <w:rPr>
          <w:rFonts w:ascii="Times New Roman" w:eastAsia="Times New Roman" w:hAnsi="Times New Roman" w:cs="Times New Roman"/>
          <w:sz w:val="24"/>
          <w:szCs w:val="24"/>
        </w:rPr>
        <w:t>Cole, R. A., &amp; Sokolyk, T. (2018).Debt financing, survival, and growth of start-up firms.</w:t>
      </w:r>
      <w:r w:rsidRPr="00715868">
        <w:rPr>
          <w:rFonts w:ascii="Times New Roman" w:eastAsia="Times New Roman" w:hAnsi="Times New Roman" w:cs="Times New Roman"/>
          <w:i/>
          <w:iCs/>
          <w:sz w:val="24"/>
          <w:szCs w:val="24"/>
        </w:rPr>
        <w:t>Journal of Corporate Finance</w:t>
      </w:r>
      <w:r w:rsidRPr="00715868">
        <w:rPr>
          <w:rFonts w:ascii="Times New Roman" w:eastAsia="Times New Roman" w:hAnsi="Times New Roman" w:cs="Times New Roman"/>
          <w:sz w:val="24"/>
          <w:szCs w:val="24"/>
        </w:rPr>
        <w:t xml:space="preserve">, </w:t>
      </w:r>
      <w:r w:rsidRPr="00715868">
        <w:rPr>
          <w:rFonts w:ascii="Times New Roman" w:eastAsia="Times New Roman" w:hAnsi="Times New Roman" w:cs="Times New Roman"/>
          <w:i/>
          <w:iCs/>
          <w:sz w:val="24"/>
          <w:szCs w:val="24"/>
        </w:rPr>
        <w:t>50</w:t>
      </w:r>
      <w:r w:rsidRPr="00715868">
        <w:rPr>
          <w:rFonts w:ascii="Times New Roman" w:eastAsia="Times New Roman" w:hAnsi="Times New Roman" w:cs="Times New Roman"/>
          <w:sz w:val="24"/>
          <w:szCs w:val="24"/>
        </w:rPr>
        <w:t>, 609-625.</w:t>
      </w:r>
    </w:p>
    <w:p w:rsidR="000B65CA" w:rsidRPr="00715868" w:rsidRDefault="000B65CA" w:rsidP="000B65CA">
      <w:pPr>
        <w:spacing w:after="0" w:line="480" w:lineRule="auto"/>
        <w:ind w:left="720" w:hanging="720"/>
        <w:rPr>
          <w:rFonts w:ascii="Times New Roman" w:eastAsia="Times New Roman" w:hAnsi="Times New Roman" w:cs="Times New Roman"/>
          <w:sz w:val="24"/>
          <w:szCs w:val="24"/>
        </w:rPr>
      </w:pPr>
      <w:r w:rsidRPr="00715868">
        <w:rPr>
          <w:rFonts w:ascii="Times New Roman" w:eastAsia="Times New Roman" w:hAnsi="Times New Roman" w:cs="Times New Roman"/>
          <w:sz w:val="24"/>
          <w:szCs w:val="24"/>
        </w:rPr>
        <w:t xml:space="preserve">Lone, F. A., Aldawood, E., &amp;Bhat, U. (2017). Comparative analysis of customer satisfaction towards Islamic and conventional banking: an empirical study from Saudi Arabia. </w:t>
      </w:r>
      <w:r w:rsidRPr="00715868">
        <w:rPr>
          <w:rFonts w:ascii="Times New Roman" w:eastAsia="Times New Roman" w:hAnsi="Times New Roman" w:cs="Times New Roman"/>
          <w:i/>
          <w:iCs/>
          <w:sz w:val="24"/>
          <w:szCs w:val="24"/>
        </w:rPr>
        <w:t>International Review of Management and Marketing</w:t>
      </w:r>
      <w:r w:rsidRPr="00715868">
        <w:rPr>
          <w:rFonts w:ascii="Times New Roman" w:eastAsia="Times New Roman" w:hAnsi="Times New Roman" w:cs="Times New Roman"/>
          <w:sz w:val="24"/>
          <w:szCs w:val="24"/>
        </w:rPr>
        <w:t xml:space="preserve">, </w:t>
      </w:r>
      <w:r w:rsidRPr="00715868">
        <w:rPr>
          <w:rFonts w:ascii="Times New Roman" w:eastAsia="Times New Roman" w:hAnsi="Times New Roman" w:cs="Times New Roman"/>
          <w:i/>
          <w:iCs/>
          <w:sz w:val="24"/>
          <w:szCs w:val="24"/>
        </w:rPr>
        <w:t>7</w:t>
      </w:r>
      <w:r w:rsidRPr="00715868">
        <w:rPr>
          <w:rFonts w:ascii="Times New Roman" w:eastAsia="Times New Roman" w:hAnsi="Times New Roman" w:cs="Times New Roman"/>
          <w:sz w:val="24"/>
          <w:szCs w:val="24"/>
        </w:rPr>
        <w:t>(1), 273-280.</w:t>
      </w:r>
    </w:p>
    <w:sectPr w:rsidR="000B65CA" w:rsidRPr="00715868" w:rsidSect="000B65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C91" w:rsidRDefault="00A72C91" w:rsidP="000B65CA">
      <w:pPr>
        <w:spacing w:after="0" w:line="240" w:lineRule="auto"/>
      </w:pPr>
      <w:r>
        <w:separator/>
      </w:r>
    </w:p>
  </w:endnote>
  <w:endnote w:type="continuationSeparator" w:id="1">
    <w:p w:rsidR="00A72C91" w:rsidRDefault="00A72C91" w:rsidP="000B65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C91" w:rsidRDefault="00A72C91" w:rsidP="000B65CA">
      <w:pPr>
        <w:spacing w:after="0" w:line="240" w:lineRule="auto"/>
      </w:pPr>
      <w:r>
        <w:separator/>
      </w:r>
    </w:p>
  </w:footnote>
  <w:footnote w:type="continuationSeparator" w:id="1">
    <w:p w:rsidR="00A72C91" w:rsidRDefault="00A72C91" w:rsidP="000B65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CA" w:rsidRPr="000B65CA" w:rsidRDefault="000B65CA">
    <w:pPr>
      <w:pStyle w:val="Header"/>
      <w:rPr>
        <w:rFonts w:ascii="Times New Roman" w:hAnsi="Times New Roman" w:cs="Times New Roman"/>
        <w:sz w:val="24"/>
        <w:szCs w:val="24"/>
      </w:rPr>
    </w:pPr>
    <w:r>
      <w:tab/>
    </w:r>
    <w:r>
      <w:tab/>
    </w:r>
    <w:r w:rsidR="00A8192E" w:rsidRPr="000B65CA">
      <w:rPr>
        <w:rFonts w:ascii="Times New Roman" w:hAnsi="Times New Roman" w:cs="Times New Roman"/>
        <w:sz w:val="24"/>
        <w:szCs w:val="24"/>
      </w:rPr>
      <w:fldChar w:fldCharType="begin"/>
    </w:r>
    <w:r w:rsidRPr="000B65CA">
      <w:rPr>
        <w:rFonts w:ascii="Times New Roman" w:hAnsi="Times New Roman" w:cs="Times New Roman"/>
        <w:sz w:val="24"/>
        <w:szCs w:val="24"/>
      </w:rPr>
      <w:instrText xml:space="preserve"> PAGE   \* MERGEFORMAT </w:instrText>
    </w:r>
    <w:r w:rsidR="00A8192E" w:rsidRPr="000B65CA">
      <w:rPr>
        <w:rFonts w:ascii="Times New Roman" w:hAnsi="Times New Roman" w:cs="Times New Roman"/>
        <w:sz w:val="24"/>
        <w:szCs w:val="24"/>
      </w:rPr>
      <w:fldChar w:fldCharType="separate"/>
    </w:r>
    <w:r w:rsidR="000D2248">
      <w:rPr>
        <w:rFonts w:ascii="Times New Roman" w:hAnsi="Times New Roman" w:cs="Times New Roman"/>
        <w:noProof/>
        <w:sz w:val="24"/>
        <w:szCs w:val="24"/>
      </w:rPr>
      <w:t>2</w:t>
    </w:r>
    <w:r w:rsidR="00A8192E" w:rsidRPr="000B65CA">
      <w:rPr>
        <w:rFonts w:ascii="Times New Roman" w:hAnsi="Times New Roman" w:cs="Times New Roman"/>
        <w:noProof/>
        <w:sz w:val="24"/>
        <w:szCs w:val="24"/>
      </w:rPr>
      <w:fldChar w:fldCharType="end"/>
    </w:r>
  </w:p>
  <w:p w:rsidR="000B65CA" w:rsidRDefault="000B65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CA" w:rsidRPr="000B65CA" w:rsidRDefault="000B65CA">
    <w:pPr>
      <w:pStyle w:val="Header"/>
      <w:rPr>
        <w:rFonts w:ascii="Times New Roman" w:hAnsi="Times New Roman" w:cs="Times New Roman"/>
        <w:sz w:val="24"/>
        <w:szCs w:val="24"/>
      </w:rPr>
    </w:pPr>
    <w:r>
      <w:tab/>
    </w:r>
    <w:r>
      <w:tab/>
    </w:r>
    <w:r w:rsidR="00A8192E" w:rsidRPr="000B65CA">
      <w:rPr>
        <w:rFonts w:ascii="Times New Roman" w:hAnsi="Times New Roman" w:cs="Times New Roman"/>
        <w:sz w:val="24"/>
        <w:szCs w:val="24"/>
      </w:rPr>
      <w:fldChar w:fldCharType="begin"/>
    </w:r>
    <w:r w:rsidRPr="000B65CA">
      <w:rPr>
        <w:rFonts w:ascii="Times New Roman" w:hAnsi="Times New Roman" w:cs="Times New Roman"/>
        <w:sz w:val="24"/>
        <w:szCs w:val="24"/>
      </w:rPr>
      <w:instrText xml:space="preserve"> PAGE   \* MERGEFORMAT </w:instrText>
    </w:r>
    <w:r w:rsidR="00A8192E" w:rsidRPr="000B65CA">
      <w:rPr>
        <w:rFonts w:ascii="Times New Roman" w:hAnsi="Times New Roman" w:cs="Times New Roman"/>
        <w:sz w:val="24"/>
        <w:szCs w:val="24"/>
      </w:rPr>
      <w:fldChar w:fldCharType="separate"/>
    </w:r>
    <w:r w:rsidR="000D2248">
      <w:rPr>
        <w:rFonts w:ascii="Times New Roman" w:hAnsi="Times New Roman" w:cs="Times New Roman"/>
        <w:noProof/>
        <w:sz w:val="24"/>
        <w:szCs w:val="24"/>
      </w:rPr>
      <w:t>1</w:t>
    </w:r>
    <w:r w:rsidR="00A8192E" w:rsidRPr="000B65C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101B"/>
    <w:rsid w:val="0002693E"/>
    <w:rsid w:val="000959BC"/>
    <w:rsid w:val="000B65CA"/>
    <w:rsid w:val="000D2248"/>
    <w:rsid w:val="00152AD2"/>
    <w:rsid w:val="00160C14"/>
    <w:rsid w:val="0018119E"/>
    <w:rsid w:val="001D4614"/>
    <w:rsid w:val="002A560C"/>
    <w:rsid w:val="002F5121"/>
    <w:rsid w:val="00424498"/>
    <w:rsid w:val="0047428E"/>
    <w:rsid w:val="006531FC"/>
    <w:rsid w:val="006C2936"/>
    <w:rsid w:val="00715868"/>
    <w:rsid w:val="007814E5"/>
    <w:rsid w:val="00960EAF"/>
    <w:rsid w:val="00A5680F"/>
    <w:rsid w:val="00A72C91"/>
    <w:rsid w:val="00A8192E"/>
    <w:rsid w:val="00AC58CE"/>
    <w:rsid w:val="00B44A0A"/>
    <w:rsid w:val="00B53B6F"/>
    <w:rsid w:val="00CE101B"/>
    <w:rsid w:val="00D27CED"/>
    <w:rsid w:val="00D80F36"/>
    <w:rsid w:val="00F605D3"/>
    <w:rsid w:val="00F83F5B"/>
    <w:rsid w:val="00FB76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1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868"/>
    <w:rPr>
      <w:color w:val="0000FF"/>
      <w:u w:val="single"/>
    </w:rPr>
  </w:style>
  <w:style w:type="paragraph" w:styleId="Header">
    <w:name w:val="header"/>
    <w:basedOn w:val="Normal"/>
    <w:link w:val="HeaderChar"/>
    <w:uiPriority w:val="99"/>
    <w:unhideWhenUsed/>
    <w:rsid w:val="000B6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5CA"/>
  </w:style>
  <w:style w:type="paragraph" w:styleId="Footer">
    <w:name w:val="footer"/>
    <w:basedOn w:val="Normal"/>
    <w:link w:val="FooterChar"/>
    <w:uiPriority w:val="99"/>
    <w:unhideWhenUsed/>
    <w:rsid w:val="000B6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5CA"/>
  </w:style>
  <w:style w:type="paragraph" w:styleId="BalloonText">
    <w:name w:val="Balloon Text"/>
    <w:basedOn w:val="Normal"/>
    <w:link w:val="BalloonTextChar"/>
    <w:uiPriority w:val="99"/>
    <w:semiHidden/>
    <w:unhideWhenUsed/>
    <w:rsid w:val="000B6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5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868"/>
    <w:rPr>
      <w:color w:val="0000FF"/>
      <w:u w:val="single"/>
    </w:rPr>
  </w:style>
  <w:style w:type="paragraph" w:styleId="Header">
    <w:name w:val="header"/>
    <w:basedOn w:val="Normal"/>
    <w:link w:val="HeaderChar"/>
    <w:uiPriority w:val="99"/>
    <w:unhideWhenUsed/>
    <w:rsid w:val="000B6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5CA"/>
  </w:style>
  <w:style w:type="paragraph" w:styleId="Footer">
    <w:name w:val="footer"/>
    <w:basedOn w:val="Normal"/>
    <w:link w:val="FooterChar"/>
    <w:uiPriority w:val="99"/>
    <w:unhideWhenUsed/>
    <w:rsid w:val="000B6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5CA"/>
  </w:style>
  <w:style w:type="paragraph" w:styleId="BalloonText">
    <w:name w:val="Balloon Text"/>
    <w:basedOn w:val="Normal"/>
    <w:link w:val="BalloonTextChar"/>
    <w:uiPriority w:val="99"/>
    <w:semiHidden/>
    <w:unhideWhenUsed/>
    <w:rsid w:val="000B6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5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8007607">
      <w:bodyDiv w:val="1"/>
      <w:marLeft w:val="0"/>
      <w:marRight w:val="0"/>
      <w:marTop w:val="0"/>
      <w:marBottom w:val="0"/>
      <w:divBdr>
        <w:top w:val="none" w:sz="0" w:space="0" w:color="auto"/>
        <w:left w:val="none" w:sz="0" w:space="0" w:color="auto"/>
        <w:bottom w:val="none" w:sz="0" w:space="0" w:color="auto"/>
        <w:right w:val="none" w:sz="0" w:space="0" w:color="auto"/>
      </w:divBdr>
      <w:divsChild>
        <w:div w:id="1352029415">
          <w:marLeft w:val="0"/>
          <w:marRight w:val="0"/>
          <w:marTop w:val="0"/>
          <w:marBottom w:val="0"/>
          <w:divBdr>
            <w:top w:val="none" w:sz="0" w:space="0" w:color="auto"/>
            <w:left w:val="none" w:sz="0" w:space="0" w:color="auto"/>
            <w:bottom w:val="none" w:sz="0" w:space="0" w:color="auto"/>
            <w:right w:val="none" w:sz="0" w:space="0" w:color="auto"/>
          </w:divBdr>
        </w:div>
      </w:divsChild>
    </w:div>
    <w:div w:id="1843625455">
      <w:bodyDiv w:val="1"/>
      <w:marLeft w:val="0"/>
      <w:marRight w:val="0"/>
      <w:marTop w:val="0"/>
      <w:marBottom w:val="0"/>
      <w:divBdr>
        <w:top w:val="none" w:sz="0" w:space="0" w:color="auto"/>
        <w:left w:val="none" w:sz="0" w:space="0" w:color="auto"/>
        <w:bottom w:val="none" w:sz="0" w:space="0" w:color="auto"/>
        <w:right w:val="none" w:sz="0" w:space="0" w:color="auto"/>
      </w:divBdr>
      <w:divsChild>
        <w:div w:id="520634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ijmar.org/v6n1/19-002.html"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jmar.org/v6n1/19-002.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2020-10-07T04:30:00Z</dcterms:created>
  <dcterms:modified xsi:type="dcterms:W3CDTF">2020-10-07T04:30:00Z</dcterms:modified>
</cp:coreProperties>
</file>